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90796" w14:textId="77777777" w:rsidR="00C76552" w:rsidRDefault="00C76552">
      <w:pPr>
        <w:spacing w:after="0" w:line="264" w:lineRule="auto"/>
        <w:ind w:left="566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D24CBB3" w14:textId="77777777" w:rsidR="00C76552" w:rsidRDefault="00C76552">
      <w:pPr>
        <w:spacing w:after="0" w:line="264" w:lineRule="auto"/>
        <w:ind w:left="566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47A7736F" w14:textId="77777777" w:rsidR="00C76552" w:rsidRDefault="00AC664E">
      <w:pPr>
        <w:jc w:val="center"/>
        <w:rPr>
          <w:b/>
          <w:bCs/>
        </w:rPr>
      </w:pPr>
      <w:r>
        <w:rPr>
          <w:b/>
          <w:bCs/>
        </w:rPr>
        <w:t>Załącznik Nr 2</w:t>
      </w:r>
    </w:p>
    <w:p w14:paraId="7E044841" w14:textId="08FA01EC" w:rsidR="00C76552" w:rsidRPr="00F877E4" w:rsidRDefault="00086206">
      <w:pPr>
        <w:rPr>
          <w:b/>
          <w:bCs/>
        </w:rPr>
      </w:pPr>
      <w:r>
        <w:rPr>
          <w:b/>
          <w:bCs/>
        </w:rPr>
        <w:t>I</w:t>
      </w:r>
      <w:r w:rsidR="00AC664E" w:rsidRPr="00F877E4">
        <w:rPr>
          <w:b/>
          <w:bCs/>
        </w:rPr>
        <w:t>.</w:t>
      </w:r>
      <w:r>
        <w:rPr>
          <w:b/>
          <w:bCs/>
        </w:rPr>
        <w:t xml:space="preserve"> </w:t>
      </w:r>
      <w:r w:rsidR="00AC664E" w:rsidRPr="00F877E4">
        <w:rPr>
          <w:b/>
          <w:bCs/>
        </w:rPr>
        <w:t>Specyfikacja</w:t>
      </w:r>
    </w:p>
    <w:p w14:paraId="0FF7B174" w14:textId="77777777" w:rsidR="00F877E4" w:rsidRPr="00086206" w:rsidRDefault="00F877E4" w:rsidP="00F877E4">
      <w:pPr>
        <w:rPr>
          <w:b/>
          <w:bCs/>
          <w:u w:val="single"/>
        </w:rPr>
      </w:pPr>
      <w:r w:rsidRPr="00086206">
        <w:rPr>
          <w:b/>
          <w:bCs/>
          <w:u w:val="single"/>
        </w:rPr>
        <w:t>1) Obudowy:</w:t>
      </w:r>
    </w:p>
    <w:p w14:paraId="51992F5C" w14:textId="77777777" w:rsidR="00F877E4" w:rsidRPr="00086206" w:rsidRDefault="00F877E4" w:rsidP="00F877E4">
      <w:r w:rsidRPr="00086206">
        <w:t>- obudowa uniwersalna; z mocowaniem 32-E.9; aluminium; czarna; X: 106mm; Y: 145mm; Z: 45mm- 24szt,</w:t>
      </w:r>
    </w:p>
    <w:p w14:paraId="7CBAB0DD" w14:textId="77777777" w:rsidR="00F877E4" w:rsidRPr="00086206" w:rsidRDefault="00F877E4" w:rsidP="00F877E4">
      <w:r w:rsidRPr="00086206">
        <w:t xml:space="preserve">- obudowa uniwersalna; ABS; czarna; X: 112mm; Y: 200mm; Z: 31mm- 25 </w:t>
      </w:r>
      <w:proofErr w:type="spellStart"/>
      <w:r w:rsidRPr="00086206">
        <w:t>szt</w:t>
      </w:r>
      <w:proofErr w:type="spellEnd"/>
      <w:r w:rsidRPr="00086206">
        <w:t>,</w:t>
      </w:r>
    </w:p>
    <w:p w14:paraId="0463B142" w14:textId="77777777" w:rsidR="00F877E4" w:rsidRPr="00763D37" w:rsidRDefault="00F877E4" w:rsidP="00F877E4">
      <w:pPr>
        <w:rPr>
          <w:b/>
          <w:bCs/>
          <w:u w:val="single"/>
        </w:rPr>
      </w:pPr>
      <w:r w:rsidRPr="00763D37">
        <w:rPr>
          <w:b/>
          <w:bCs/>
          <w:u w:val="single"/>
        </w:rPr>
        <w:t>2) Rezystory:</w:t>
      </w:r>
    </w:p>
    <w:p w14:paraId="7F93E26D" w14:textId="77D5D25F" w:rsidR="00F877E4" w:rsidRDefault="00F877E4" w:rsidP="00F877E4">
      <w:r>
        <w:t xml:space="preserve">- rezystor grubowarstwowy SMD: rezystancja 34 </w:t>
      </w:r>
      <w:proofErr w:type="spellStart"/>
      <w:r>
        <w:t>kOhms</w:t>
      </w:r>
      <w:proofErr w:type="spellEnd"/>
      <w:r>
        <w:t>, mo</w:t>
      </w:r>
      <w:r w:rsidR="00763D37">
        <w:t xml:space="preserve">c </w:t>
      </w:r>
      <w:r>
        <w:t>znamionowa 100mW, tolerancja 1%, napięcie znamionowe 75 V – 200szt</w:t>
      </w:r>
    </w:p>
    <w:p w14:paraId="45BB64FB" w14:textId="4F0F4E73" w:rsidR="00F877E4" w:rsidRDefault="00F877E4" w:rsidP="00F877E4">
      <w:r>
        <w:t xml:space="preserve">- rezystor grubowarstwowy SMD: rezystencja 1 </w:t>
      </w:r>
      <w:proofErr w:type="spellStart"/>
      <w:r>
        <w:t>kOhms</w:t>
      </w:r>
      <w:proofErr w:type="spellEnd"/>
      <w:r>
        <w:t>, mo</w:t>
      </w:r>
      <w:r w:rsidR="00763D37">
        <w:t>c z</w:t>
      </w:r>
      <w:r>
        <w:t>namionowa 100mW, tolerancja 5%, napięcie znamionowe 590 V – 100szt</w:t>
      </w:r>
    </w:p>
    <w:p w14:paraId="411DBC43" w14:textId="77777777" w:rsidR="00F877E4" w:rsidRPr="00763D37" w:rsidRDefault="00F877E4" w:rsidP="00F877E4">
      <w:pPr>
        <w:rPr>
          <w:b/>
          <w:bCs/>
          <w:u w:val="single"/>
        </w:rPr>
      </w:pPr>
      <w:r w:rsidRPr="00763D37">
        <w:rPr>
          <w:b/>
          <w:bCs/>
          <w:u w:val="single"/>
        </w:rPr>
        <w:t>3) Przełączniki:</w:t>
      </w:r>
    </w:p>
    <w:p w14:paraId="2CCC3055" w14:textId="36E0C23E" w:rsidR="00F877E4" w:rsidRDefault="00F877E4" w:rsidP="00F877E4">
      <w:r>
        <w:t>- przełącznik przyciskowy metalowy: 19mm, oświetlony, funkcja on/off, prąd znamionowy 5A, napięcie znamionowe AC 250 V, klas. IP67, terminal lutowniczy, pokrycie styku srebro</w:t>
      </w:r>
      <w:r w:rsidR="00E60676">
        <w:t>, zielony kolor iluminacji</w:t>
      </w:r>
      <w:r>
        <w:t>– 20szt</w:t>
      </w:r>
    </w:p>
    <w:p w14:paraId="76972AC5" w14:textId="0569AE76" w:rsidR="00F877E4" w:rsidRDefault="00F877E4" w:rsidP="00F877E4">
      <w:r>
        <w:t xml:space="preserve">- przełącznik dotykowy, niepodświetlany, mocowanie przez otwór, wspornik 0,5mm, funkcja on/off, siła robocza 1,6N, prąd </w:t>
      </w:r>
      <w:proofErr w:type="spellStart"/>
      <w:r>
        <w:t>znamionowu</w:t>
      </w:r>
      <w:proofErr w:type="spellEnd"/>
      <w:r>
        <w:t xml:space="preserve"> 50mA, napięcie znamionowe DC 24V prądu stałego, styk pin lutowniczy – 50szt</w:t>
      </w:r>
    </w:p>
    <w:p w14:paraId="2050BCE8" w14:textId="77777777" w:rsidR="00F877E4" w:rsidRPr="00763D37" w:rsidRDefault="00F877E4" w:rsidP="00F877E4">
      <w:pPr>
        <w:rPr>
          <w:b/>
          <w:bCs/>
          <w:u w:val="single"/>
        </w:rPr>
      </w:pPr>
      <w:r w:rsidRPr="00763D37">
        <w:rPr>
          <w:b/>
          <w:bCs/>
          <w:u w:val="single"/>
        </w:rPr>
        <w:t>4) Przekaźniki:</w:t>
      </w:r>
    </w:p>
    <w:p w14:paraId="546BD524" w14:textId="77777777" w:rsidR="00F877E4" w:rsidRDefault="00F877E4" w:rsidP="00F877E4">
      <w:r>
        <w:t xml:space="preserve">- przekaźnik półprzewodnikowy: przekaźnik sygnałowy do montażu na płytce drukowanej, znamionowy prąd obciążenia 4A, forma styku SPST-NO, zakres napięcia sterującego 1,5-1,8 VDC, wyjście MOSFET, prąd wejściowy 30 </w:t>
      </w:r>
      <w:proofErr w:type="spellStart"/>
      <w:r>
        <w:t>mA</w:t>
      </w:r>
      <w:proofErr w:type="spellEnd"/>
      <w:r>
        <w:t>, znamionowe napięcie obciążenia 60 VAC/60 VDC – 70szt.</w:t>
      </w:r>
    </w:p>
    <w:p w14:paraId="47DC9D25" w14:textId="77777777" w:rsidR="00F877E4" w:rsidRDefault="00F877E4" w:rsidP="00F877E4">
      <w:r>
        <w:t xml:space="preserve">- przekaźnik półprzewodnikowy: przekaźnik sygnałowy do montażu na płytce drukowanej, znamionowy prąd obciążenia 4A, forma styku SPST-NO, zakres napięcia sterującego 1,5-1,8 VDC, wyjście MOSFET, prąd wejściowy 30 </w:t>
      </w:r>
      <w:proofErr w:type="spellStart"/>
      <w:r>
        <w:t>mA</w:t>
      </w:r>
      <w:proofErr w:type="spellEnd"/>
      <w:r>
        <w:t>, znamionowe napięcie obciążenia 30 VAC/30 VDC – 70szt.</w:t>
      </w:r>
    </w:p>
    <w:p w14:paraId="758570D3" w14:textId="77777777" w:rsidR="00F877E4" w:rsidRDefault="00F877E4" w:rsidP="00F877E4">
      <w:r>
        <w:t xml:space="preserve">- przekaźnik półprzewodnikowy: przekaźnik sygnałowy do montażu na płytce drukowanej, </w:t>
      </w:r>
      <w:r>
        <w:lastRenderedPageBreak/>
        <w:t xml:space="preserve">znamionowy prąd obciążenia 2A, forma styku SPST-NO, zakres napięcia sterującego 1,2 V prądu stałego, wyjście MOSFET, prąd wejściowy 25 </w:t>
      </w:r>
      <w:proofErr w:type="spellStart"/>
      <w:r>
        <w:t>mA</w:t>
      </w:r>
      <w:proofErr w:type="spellEnd"/>
      <w:r>
        <w:t>, znamionowe napięcie obciążenia 60 VAC/60 VDC – 40szt.</w:t>
      </w:r>
    </w:p>
    <w:p w14:paraId="73155BAF" w14:textId="4AC868CF" w:rsidR="00F877E4" w:rsidRDefault="00F877E4" w:rsidP="00F877E4">
      <w:r>
        <w:t xml:space="preserve">- przekaźnik półprzewodnikowy: przekaźnik sygnałowy do montażu na płytce drukowanej, znamionowy prąd obciążenia 1A, forma styku SPST-NO, zakres napięcia sterującego 1,25 V prądu stałego, wyjście MOSFET, prąd wejściowy 50 </w:t>
      </w:r>
      <w:proofErr w:type="spellStart"/>
      <w:r>
        <w:t>mA</w:t>
      </w:r>
      <w:proofErr w:type="spellEnd"/>
      <w:r>
        <w:t>, znamionowe napięcie obciążenia 30 VAC/30 VDC – 25szt.</w:t>
      </w:r>
    </w:p>
    <w:p w14:paraId="156B49E7" w14:textId="77777777" w:rsidR="00F877E4" w:rsidRPr="00763D37" w:rsidRDefault="00F877E4" w:rsidP="00F877E4">
      <w:pPr>
        <w:rPr>
          <w:b/>
          <w:bCs/>
          <w:u w:val="single"/>
        </w:rPr>
      </w:pPr>
      <w:r w:rsidRPr="00763D37">
        <w:rPr>
          <w:b/>
          <w:bCs/>
          <w:u w:val="single"/>
        </w:rPr>
        <w:t>5) Regulatory napięcia:</w:t>
      </w:r>
    </w:p>
    <w:p w14:paraId="4FFEEA2D" w14:textId="77777777" w:rsidR="00F877E4" w:rsidRDefault="00F877E4" w:rsidP="00F877E4">
      <w:r>
        <w:t>- przełączalny regulator napięcia: napięcie wyjścia 3,3V, prąd wyjścia 1A, max. napięcie wejściowe 36V, mocowanie przez otwór, częstotliwość przełączania 500kHz, min. napięcie wejściowe 6V, prąd roboczy zasilania 6mA – 20szt.</w:t>
      </w:r>
    </w:p>
    <w:p w14:paraId="702BA64F" w14:textId="3AF7AD84" w:rsidR="00F877E4" w:rsidRDefault="00F877E4" w:rsidP="00F877E4">
      <w:r>
        <w:t>- przełączalny regulator napięcia: napięcie wyjścia 5V, prąd wyjścia 1A, max. napięcie wejściowe 36V, mocowanie przez otwór, częstotliwość przełączania 500kHz, min. napięcie wejściowe 8V, prąd roboczy zasilania 8mA – 20szt.</w:t>
      </w:r>
    </w:p>
    <w:p w14:paraId="5598091A" w14:textId="77777777" w:rsidR="00F877E4" w:rsidRPr="00763D37" w:rsidRDefault="00F877E4" w:rsidP="00F877E4">
      <w:pPr>
        <w:rPr>
          <w:b/>
          <w:bCs/>
          <w:u w:val="single"/>
        </w:rPr>
      </w:pPr>
      <w:r w:rsidRPr="00763D37">
        <w:rPr>
          <w:b/>
          <w:bCs/>
          <w:u w:val="single"/>
        </w:rPr>
        <w:t>6) Napędy:</w:t>
      </w:r>
    </w:p>
    <w:p w14:paraId="1A9047E5" w14:textId="680FA346" w:rsidR="00F877E4" w:rsidRDefault="00F877E4" w:rsidP="00F877E4">
      <w:r>
        <w:t>- serwonapęd, prąd znamionowy 2,65A, moc znamionowa 400W, 1 faza/3 fazy, IP20, ASD-B3 – 3 szt.</w:t>
      </w:r>
    </w:p>
    <w:p w14:paraId="2C22E40D" w14:textId="77777777" w:rsidR="00F877E4" w:rsidRPr="00763D37" w:rsidRDefault="00F877E4" w:rsidP="00F877E4">
      <w:pPr>
        <w:rPr>
          <w:b/>
          <w:bCs/>
          <w:u w:val="single"/>
        </w:rPr>
      </w:pPr>
      <w:r w:rsidRPr="00763D37">
        <w:rPr>
          <w:b/>
          <w:bCs/>
          <w:u w:val="single"/>
        </w:rPr>
        <w:t>7) Przetwornice:</w:t>
      </w:r>
    </w:p>
    <w:p w14:paraId="22E05B66" w14:textId="634BA541" w:rsidR="00F877E4" w:rsidRDefault="00F877E4" w:rsidP="00F877E4">
      <w:r>
        <w:t>- izolowana przetwornica DC/DC, przelotowa, 1 wyjście, moc wyjściowa 60W, napięcie wejściowe min. 40V, napięcie wejściowe max. 160V, napięcie izolacji 3kV, długość max. 50,8mm, szerokość max. 25,4mm, wysokość max. 10,5 – 8 szt.</w:t>
      </w:r>
    </w:p>
    <w:p w14:paraId="141F1918" w14:textId="77777777" w:rsidR="00F877E4" w:rsidRPr="00763D37" w:rsidRDefault="00F877E4" w:rsidP="00F877E4">
      <w:pPr>
        <w:rPr>
          <w:b/>
          <w:bCs/>
          <w:u w:val="single"/>
        </w:rPr>
      </w:pPr>
      <w:r w:rsidRPr="00763D37">
        <w:rPr>
          <w:b/>
          <w:bCs/>
          <w:u w:val="single"/>
        </w:rPr>
        <w:t>8) Kondensatory:</w:t>
      </w:r>
    </w:p>
    <w:p w14:paraId="47F8E0DD" w14:textId="255FB265" w:rsidR="00F877E4" w:rsidRDefault="00F877E4" w:rsidP="00F877E4">
      <w:r>
        <w:t xml:space="preserve">- wielowarstwowy kondensator ceramiczny, poj. </w:t>
      </w:r>
      <w:proofErr w:type="spellStart"/>
      <w:r>
        <w:t>elektr</w:t>
      </w:r>
      <w:proofErr w:type="spellEnd"/>
      <w:r>
        <w:t>. 0,047uF, napięcie znamionowe DC 50V prądu stałego, tolerancja 10%, wys. 0,5mm, styk SMD/SMT – 100szt</w:t>
      </w:r>
    </w:p>
    <w:p w14:paraId="31D769F5" w14:textId="77777777" w:rsidR="00F877E4" w:rsidRPr="00763D37" w:rsidRDefault="00F877E4" w:rsidP="00F877E4">
      <w:pPr>
        <w:rPr>
          <w:b/>
          <w:bCs/>
          <w:u w:val="single"/>
        </w:rPr>
      </w:pPr>
      <w:r w:rsidRPr="00763D37">
        <w:rPr>
          <w:b/>
          <w:bCs/>
          <w:u w:val="single"/>
        </w:rPr>
        <w:t>9) Kable i taśmy:</w:t>
      </w:r>
    </w:p>
    <w:p w14:paraId="63978208" w14:textId="681C6BC7" w:rsidR="00F877E4" w:rsidRDefault="00F877E4" w:rsidP="00F877E4">
      <w:r>
        <w:t xml:space="preserve">- przewód do </w:t>
      </w:r>
      <w:proofErr w:type="spellStart"/>
      <w:r>
        <w:t>przesyłu</w:t>
      </w:r>
      <w:proofErr w:type="spellEnd"/>
      <w:r>
        <w:t xml:space="preserve"> danych 5x0,5m2; linka; liczba żył:5; OFC; żyły bez powtórzeń kolorów; napięcie 49V; ekranowany, oplot z drutów miedzianych - 32m</w:t>
      </w:r>
    </w:p>
    <w:p w14:paraId="5EA5DFA0" w14:textId="77777777" w:rsidR="00F877E4" w:rsidRPr="00763D37" w:rsidRDefault="00F877E4" w:rsidP="00F877E4">
      <w:pPr>
        <w:rPr>
          <w:b/>
          <w:bCs/>
          <w:u w:val="single"/>
        </w:rPr>
      </w:pPr>
      <w:r w:rsidRPr="00763D37">
        <w:rPr>
          <w:b/>
          <w:bCs/>
          <w:u w:val="single"/>
        </w:rPr>
        <w:t>10) Karty pamięci:</w:t>
      </w:r>
    </w:p>
    <w:p w14:paraId="173F0256" w14:textId="3787999A" w:rsidR="00F877E4" w:rsidRDefault="00F877E4" w:rsidP="00F877E4">
      <w:r>
        <w:t xml:space="preserve">- Karta pamięci Ultra </w:t>
      </w:r>
      <w:proofErr w:type="spellStart"/>
      <w:r>
        <w:t>microSDHC</w:t>
      </w:r>
      <w:proofErr w:type="spellEnd"/>
      <w:r>
        <w:t xml:space="preserve">, poj. 32GB, odczyt 120MB/s, Klasa 10, UHS Class 1, adapter SD- 30 </w:t>
      </w:r>
      <w:proofErr w:type="spellStart"/>
      <w:r>
        <w:lastRenderedPageBreak/>
        <w:t>szt</w:t>
      </w:r>
      <w:proofErr w:type="spellEnd"/>
    </w:p>
    <w:p w14:paraId="6749495F" w14:textId="77777777" w:rsidR="00F877E4" w:rsidRPr="00763D37" w:rsidRDefault="00F877E4" w:rsidP="00F877E4">
      <w:pPr>
        <w:rPr>
          <w:b/>
          <w:bCs/>
          <w:u w:val="single"/>
        </w:rPr>
      </w:pPr>
      <w:r w:rsidRPr="00763D37">
        <w:rPr>
          <w:b/>
          <w:bCs/>
          <w:u w:val="single"/>
        </w:rPr>
        <w:t>11) Tłumiki:</w:t>
      </w:r>
    </w:p>
    <w:p w14:paraId="0190C132" w14:textId="77777777" w:rsidR="00F877E4" w:rsidRDefault="00F877E4" w:rsidP="00F877E4">
      <w:r>
        <w:t>- tłumik ESD/diody TVS, jednokierunkowy, 1 kanał, napięcie robocze 30V, styk SMD/SMT, napięcie stabilizacji 48,4V, napięcie przebicia 33,3V, prąd szczytowy impulsowy 8.3A – 100szt</w:t>
      </w:r>
    </w:p>
    <w:p w14:paraId="29503C0F" w14:textId="77777777" w:rsidR="00F877E4" w:rsidRDefault="00F877E4" w:rsidP="00F877E4">
      <w:r>
        <w:t>- tłumik ESD/diody TVS, jednokierunkowy, 1 kanał, napięcie robocze 5V, styk SMD/SMT, napięcie stabilizacji 12,5V, napięcie przebicia 6V, prąd szczytowy impulsowy 16A – 200szt</w:t>
      </w:r>
    </w:p>
    <w:p w14:paraId="1C16D642" w14:textId="49F783C9" w:rsidR="00F877E4" w:rsidRDefault="00F877E4" w:rsidP="00F877E4">
      <w:r>
        <w:t>- tłumik ESD/diody TVS, jednokierunkowy, 1 kanał, napięcie robocze 5V, styk SMD/SMT, napięcie stabilizacji 12,5V, napięcie przebicia 6V, prąd szczytowy impulsowy 16A, strata mocy impulsu 240W – 50szt</w:t>
      </w:r>
    </w:p>
    <w:p w14:paraId="33266EAB" w14:textId="77777777" w:rsidR="00F877E4" w:rsidRPr="00763D37" w:rsidRDefault="00F877E4" w:rsidP="00F877E4">
      <w:pPr>
        <w:rPr>
          <w:b/>
          <w:bCs/>
          <w:u w:val="single"/>
        </w:rPr>
      </w:pPr>
      <w:r w:rsidRPr="00763D37">
        <w:rPr>
          <w:b/>
          <w:bCs/>
          <w:u w:val="single"/>
        </w:rPr>
        <w:t>12) Bezpieczniki:</w:t>
      </w:r>
    </w:p>
    <w:p w14:paraId="451E7929" w14:textId="7FFA8CC6" w:rsidR="00F877E4" w:rsidRDefault="00F877E4" w:rsidP="00F877E4">
      <w:r>
        <w:t>- bezpiecznik z przewodami przelotowy, do montażu na płytce drukowanej, prąd znamionowy 2A, napięcie znamionowe AC 250V, korpus ołowiowy, styk promieniowy, grupa TR5, rezystencja 28mOhm, fi 8,5mm – 100 szt.</w:t>
      </w:r>
    </w:p>
    <w:p w14:paraId="3D1AF30F" w14:textId="77777777" w:rsidR="00F877E4" w:rsidRPr="00763D37" w:rsidRDefault="00F877E4" w:rsidP="00F877E4">
      <w:pPr>
        <w:rPr>
          <w:b/>
          <w:bCs/>
          <w:u w:val="single"/>
        </w:rPr>
      </w:pPr>
      <w:r w:rsidRPr="00763D37">
        <w:rPr>
          <w:b/>
          <w:bCs/>
          <w:u w:val="single"/>
        </w:rPr>
        <w:t>13) Kondensatory:</w:t>
      </w:r>
    </w:p>
    <w:p w14:paraId="5AB9FE77" w14:textId="61406F4B" w:rsidR="00F877E4" w:rsidRDefault="00F877E4" w:rsidP="00F877E4">
      <w:r>
        <w:t xml:space="preserve">- kondensator </w:t>
      </w:r>
      <w:proofErr w:type="spellStart"/>
      <w:r>
        <w:t>elektroliczny</w:t>
      </w:r>
      <w:proofErr w:type="spellEnd"/>
      <w:r>
        <w:t xml:space="preserve">, pojemność 1000 </w:t>
      </w:r>
      <w:proofErr w:type="spellStart"/>
      <w:r>
        <w:t>uF</w:t>
      </w:r>
      <w:proofErr w:type="spellEnd"/>
      <w:r>
        <w:t>, napięcie znamionowe DC 63V prądu stałego, fi 16mm, długość 31mm, odstępy między przewodami 7,5mm, żywotność 500h, tolerancja 20%, prąd tętniący 2,67A – 100szt</w:t>
      </w:r>
    </w:p>
    <w:p w14:paraId="2C640C73" w14:textId="77777777" w:rsidR="00F877E4" w:rsidRPr="00763D37" w:rsidRDefault="00F877E4" w:rsidP="00F877E4">
      <w:pPr>
        <w:rPr>
          <w:b/>
          <w:bCs/>
          <w:u w:val="single"/>
        </w:rPr>
      </w:pPr>
      <w:r w:rsidRPr="00763D37">
        <w:rPr>
          <w:b/>
          <w:bCs/>
          <w:u w:val="single"/>
        </w:rPr>
        <w:t>14) Preparaty:</w:t>
      </w:r>
    </w:p>
    <w:p w14:paraId="153E5CDD" w14:textId="77777777" w:rsidR="00F877E4" w:rsidRDefault="00F877E4" w:rsidP="00F877E4">
      <w:r>
        <w:t>- płyn do czyszczenia światłowodów, min. 40g – 5szt</w:t>
      </w:r>
    </w:p>
    <w:p w14:paraId="266ED437" w14:textId="66EA2800" w:rsidR="00F877E4" w:rsidRDefault="00F877E4" w:rsidP="00F877E4">
      <w:r>
        <w:t>- klej termiczny, 10cm3, strzykawka – 10 szt.</w:t>
      </w:r>
    </w:p>
    <w:p w14:paraId="04D01B86" w14:textId="77777777" w:rsidR="00F877E4" w:rsidRPr="00763D37" w:rsidRDefault="00F877E4" w:rsidP="00F877E4">
      <w:pPr>
        <w:rPr>
          <w:b/>
          <w:bCs/>
          <w:u w:val="single"/>
        </w:rPr>
      </w:pPr>
      <w:r w:rsidRPr="00763D37">
        <w:rPr>
          <w:b/>
          <w:bCs/>
          <w:u w:val="single"/>
        </w:rPr>
        <w:t>15) Czujniki:</w:t>
      </w:r>
    </w:p>
    <w:p w14:paraId="6458C731" w14:textId="7E41C55A" w:rsidR="00F877E4" w:rsidRDefault="00F877E4" w:rsidP="00F877E4">
      <w:r>
        <w:t>- czujnik Halla/czujnik magnetyczny, do montażu na płytce PCB, jednobiegunowy, prąd roboczy zasilania 3,5mA, max. prąd wyjścia 8mA, napięcie robocze zasilania 24V, punkt pracy 45 do 205G – 50szt</w:t>
      </w:r>
    </w:p>
    <w:p w14:paraId="3CDE95E4" w14:textId="77777777" w:rsidR="00F877E4" w:rsidRPr="00763D37" w:rsidRDefault="00F877E4" w:rsidP="00F877E4">
      <w:pPr>
        <w:rPr>
          <w:b/>
          <w:bCs/>
          <w:u w:val="single"/>
        </w:rPr>
      </w:pPr>
      <w:r w:rsidRPr="00763D37">
        <w:rPr>
          <w:b/>
          <w:bCs/>
          <w:u w:val="single"/>
        </w:rPr>
        <w:t>16) Oscylatory:</w:t>
      </w:r>
    </w:p>
    <w:p w14:paraId="3F96E2CB" w14:textId="5F2699E1" w:rsidR="00F877E4" w:rsidRPr="00F877E4" w:rsidRDefault="00F877E4" w:rsidP="00F877E4">
      <w:r>
        <w:t xml:space="preserve">- oscylator zegarowy, obudowa min. 7x5mm, częstotliwość 50MHz, stabilność 50ppm, pojemność obciążenia 50pF, napięcie zasilania min. 2,97V, napięcie zasilania max. 3,63V, wyjście HCMOS, styk </w:t>
      </w:r>
      <w:r>
        <w:lastRenderedPageBreak/>
        <w:t>SMD/SMT – 20szt</w:t>
      </w:r>
    </w:p>
    <w:p w14:paraId="1A875F23" w14:textId="77777777" w:rsidR="00F877E4" w:rsidRPr="00763D37" w:rsidRDefault="00F877E4" w:rsidP="00F877E4">
      <w:pPr>
        <w:rPr>
          <w:b/>
          <w:bCs/>
          <w:u w:val="single"/>
        </w:rPr>
      </w:pPr>
      <w:r w:rsidRPr="00763D37">
        <w:rPr>
          <w:b/>
          <w:bCs/>
          <w:u w:val="single"/>
        </w:rPr>
        <w:t>17) Złącza:</w:t>
      </w:r>
    </w:p>
    <w:p w14:paraId="56598FF0" w14:textId="77777777" w:rsidR="00F877E4" w:rsidRDefault="00F877E4" w:rsidP="00F877E4">
      <w:r>
        <w:t>- złącze FPC, montaż na płytce, 6 pozycji, skok 0,5mm, SMD/SMT, poziomy kąt montażu, prąd znamionowy 500mA – 50szt</w:t>
      </w:r>
    </w:p>
    <w:p w14:paraId="44F3DC4E" w14:textId="77777777" w:rsidR="00F877E4" w:rsidRDefault="00F877E4" w:rsidP="00F877E4">
      <w:r>
        <w:t>- złącze D-</w:t>
      </w:r>
      <w:proofErr w:type="spellStart"/>
      <w:r>
        <w:t>Sub</w:t>
      </w:r>
      <w:proofErr w:type="spellEnd"/>
      <w:r>
        <w:t>, 25 pozycji, styk męski, prosty kąt montażu, 2 rzędy, pokrycie złoto, powłoka 3 (B) stalowa, prąd znamionowy 5A, rozmieszczenie wtyków B25 – 10szt</w:t>
      </w:r>
    </w:p>
    <w:p w14:paraId="5A576850" w14:textId="77777777" w:rsidR="00F877E4" w:rsidRDefault="00F877E4" w:rsidP="00F877E4">
      <w:r>
        <w:t>- złącze USB 3.0, typ C-C, 24 styki, 1 port, prąd znamionowy 5A, IP20, napięcie znamionowe 20V  -20 szt.</w:t>
      </w:r>
    </w:p>
    <w:p w14:paraId="6649A5F1" w14:textId="77777777" w:rsidR="00F877E4" w:rsidRDefault="00F877E4" w:rsidP="00F877E4">
      <w:r>
        <w:t>- złącze Ethernet 6,2mm, RJ45, wtyczka męska, 8P8C, ekranowane, kat. 6a, montaż prosty, styk IDC, IP20 – 100 szt.</w:t>
      </w:r>
    </w:p>
    <w:p w14:paraId="0F26BCF8" w14:textId="310A96A3" w:rsidR="00F877E4" w:rsidRPr="00F877E4" w:rsidRDefault="00F877E4" w:rsidP="00F877E4">
      <w:r>
        <w:t>- zworki łączące z FPC, 8 żył, skok 0.5mm, długość przewodu 152mm, prąd znamionowy 500mA, napięcie znamionowe 60VAC, styk miedziany, osłona poliestrowa – 20 szt.</w:t>
      </w:r>
    </w:p>
    <w:p w14:paraId="5C2C412C" w14:textId="77777777" w:rsidR="00F877E4" w:rsidRPr="00763D37" w:rsidRDefault="00F877E4" w:rsidP="00F877E4">
      <w:pPr>
        <w:rPr>
          <w:b/>
          <w:bCs/>
          <w:u w:val="single"/>
        </w:rPr>
      </w:pPr>
      <w:r w:rsidRPr="00763D37">
        <w:rPr>
          <w:b/>
          <w:bCs/>
          <w:u w:val="single"/>
        </w:rPr>
        <w:t>18) Podkładki:</w:t>
      </w:r>
    </w:p>
    <w:p w14:paraId="5DC44610" w14:textId="30A124B9" w:rsidR="00F877E4" w:rsidRDefault="00F877E4" w:rsidP="00F877E4">
      <w:r>
        <w:t>- termoprzewodząca podkładka, dwustronna z klejem; 200mmx0,4mx1mm, przewodność cieplna 2,4W/</w:t>
      </w:r>
      <w:proofErr w:type="spellStart"/>
      <w:r>
        <w:t>mK</w:t>
      </w:r>
      <w:proofErr w:type="spellEnd"/>
      <w:r>
        <w:t xml:space="preserve"> - 3 </w:t>
      </w:r>
      <w:proofErr w:type="spellStart"/>
      <w:r>
        <w:t>szt</w:t>
      </w:r>
      <w:proofErr w:type="spellEnd"/>
    </w:p>
    <w:p w14:paraId="4DC0CB53" w14:textId="77777777" w:rsidR="00F877E4" w:rsidRPr="00763D37" w:rsidRDefault="00F877E4" w:rsidP="00F877E4">
      <w:pPr>
        <w:rPr>
          <w:b/>
          <w:bCs/>
          <w:u w:val="single"/>
        </w:rPr>
      </w:pPr>
      <w:r w:rsidRPr="00763D37">
        <w:rPr>
          <w:b/>
          <w:bCs/>
          <w:u w:val="single"/>
        </w:rPr>
        <w:t>19) Moduły wyświetlaczy:</w:t>
      </w:r>
    </w:p>
    <w:p w14:paraId="09D5FCB3" w14:textId="7AA2BB61" w:rsidR="00F877E4" w:rsidRDefault="00F877E4" w:rsidP="00F877E4">
      <w:r>
        <w:t>- moduł wyświetlaczy TFT LCD, transmisyjny tryb wyświetlania, przekątna 3,2”, rozdz. QVGA, interfejs SPI, napięcie robocze zasilania 2,8V, LCD 4D – 30 szt.</w:t>
      </w:r>
    </w:p>
    <w:p w14:paraId="714C283B" w14:textId="77777777" w:rsidR="00F877E4" w:rsidRPr="00763D37" w:rsidRDefault="00F877E4" w:rsidP="00F877E4">
      <w:pPr>
        <w:rPr>
          <w:b/>
          <w:bCs/>
          <w:u w:val="single"/>
        </w:rPr>
      </w:pPr>
      <w:r w:rsidRPr="00763D37">
        <w:rPr>
          <w:b/>
          <w:bCs/>
          <w:u w:val="single"/>
        </w:rPr>
        <w:t>20) Interfejsy:</w:t>
      </w:r>
    </w:p>
    <w:p w14:paraId="333B4574" w14:textId="262D3D9B" w:rsidR="00F877E4" w:rsidRDefault="00F877E4" w:rsidP="00F877E4">
      <w:r>
        <w:t xml:space="preserve">- interfejs, spełnia wymagania TIA/EIA-232, ochrona ESD dla </w:t>
      </w:r>
      <w:proofErr w:type="spellStart"/>
      <w:r>
        <w:t>pinów</w:t>
      </w:r>
      <w:proofErr w:type="spellEnd"/>
      <w:r>
        <w:t xml:space="preserve"> magistrali RS-232: ±15kV dla ludzkiego ciała, działa przy zasilaniu 5V VCC, działa do 120kbit/s, posiada dwa sterowniki i dwa odbiorniki, wydajność zatrzasku przekracza 100mA, zgodnie z JESD 78, klasa II – 60 szt.</w:t>
      </w:r>
    </w:p>
    <w:p w14:paraId="03E43AED" w14:textId="77777777" w:rsidR="00F877E4" w:rsidRPr="00763D37" w:rsidRDefault="00F877E4" w:rsidP="00F877E4">
      <w:pPr>
        <w:rPr>
          <w:b/>
          <w:bCs/>
          <w:u w:val="single"/>
        </w:rPr>
      </w:pPr>
      <w:r w:rsidRPr="00763D37">
        <w:rPr>
          <w:b/>
          <w:bCs/>
          <w:u w:val="single"/>
        </w:rPr>
        <w:t xml:space="preserve">21) </w:t>
      </w:r>
      <w:proofErr w:type="spellStart"/>
      <w:r w:rsidRPr="00763D37">
        <w:rPr>
          <w:b/>
          <w:bCs/>
          <w:u w:val="single"/>
        </w:rPr>
        <w:t>Enkodery</w:t>
      </w:r>
      <w:proofErr w:type="spellEnd"/>
      <w:r w:rsidRPr="00763D37">
        <w:rPr>
          <w:b/>
          <w:bCs/>
          <w:u w:val="single"/>
        </w:rPr>
        <w:t>:</w:t>
      </w:r>
    </w:p>
    <w:p w14:paraId="76E59D4C" w14:textId="5D8A856B" w:rsidR="00F877E4" w:rsidRPr="00F877E4" w:rsidRDefault="00F877E4" w:rsidP="00F877E4">
      <w:r>
        <w:t xml:space="preserve">- </w:t>
      </w:r>
      <w:proofErr w:type="spellStart"/>
      <w:r>
        <w:t>enkoder</w:t>
      </w:r>
      <w:proofErr w:type="spellEnd"/>
      <w:r>
        <w:t xml:space="preserve"> magnetyczny absolutny dwutorowy; pomiar do 65536 CPR; interfejs I2C ; zasilanie 5VDC; obudowa DFN16 5x5mm- 100 szt.</w:t>
      </w:r>
    </w:p>
    <w:p w14:paraId="61D053A2" w14:textId="77777777" w:rsidR="00F877E4" w:rsidRPr="00763D37" w:rsidRDefault="00F877E4" w:rsidP="00F877E4">
      <w:pPr>
        <w:rPr>
          <w:b/>
          <w:bCs/>
          <w:u w:val="single"/>
        </w:rPr>
      </w:pPr>
      <w:r w:rsidRPr="00763D37">
        <w:rPr>
          <w:b/>
          <w:bCs/>
          <w:u w:val="single"/>
        </w:rPr>
        <w:t>22) Płytki:</w:t>
      </w:r>
    </w:p>
    <w:p w14:paraId="6206F189" w14:textId="4B2B0102" w:rsidR="00C76552" w:rsidRDefault="00F877E4" w:rsidP="00F877E4">
      <w:r>
        <w:lastRenderedPageBreak/>
        <w:t xml:space="preserve">- </w:t>
      </w:r>
      <w:r w:rsidRPr="00F877E4">
        <w:t>Komputery jednopłytkowe SBC o parametrach minimalnych: Komputer jednopłytkowy SBC, procesor: ARM Cortex-A53</w:t>
      </w:r>
      <w:r w:rsidR="00752E74">
        <w:t xml:space="preserve"> lub równoważny</w:t>
      </w:r>
      <w:r w:rsidRPr="00F877E4">
        <w:t xml:space="preserve">; ilość rdzeni procesora:4; procesor </w:t>
      </w:r>
      <w:proofErr w:type="spellStart"/>
      <w:r w:rsidRPr="00F877E4">
        <w:t>Broadcom</w:t>
      </w:r>
      <w:proofErr w:type="spellEnd"/>
      <w:r w:rsidRPr="00F877E4">
        <w:t xml:space="preserve"> Video </w:t>
      </w:r>
      <w:proofErr w:type="spellStart"/>
      <w:r w:rsidRPr="00F877E4">
        <w:t>Core</w:t>
      </w:r>
      <w:proofErr w:type="spellEnd"/>
      <w:r w:rsidRPr="00F877E4">
        <w:t xml:space="preserve"> IV</w:t>
      </w:r>
      <w:r w:rsidR="00752E74">
        <w:t xml:space="preserve"> lub równoważny</w:t>
      </w:r>
      <w:r w:rsidRPr="00F877E4">
        <w:t>; pamięć 1GB; pamięć DDR2; taktowanie 1.4 GHz -30 szt.</w:t>
      </w:r>
    </w:p>
    <w:p w14:paraId="02F3C99F" w14:textId="77777777" w:rsidR="00F877E4" w:rsidRDefault="00F877E4" w:rsidP="00F877E4"/>
    <w:p w14:paraId="3F6CFE0B" w14:textId="7805FEC8" w:rsidR="00C76552" w:rsidRPr="00F877E4" w:rsidRDefault="00086206">
      <w:pPr>
        <w:jc w:val="both"/>
        <w:rPr>
          <w:b/>
          <w:bCs/>
        </w:rPr>
      </w:pPr>
      <w:r>
        <w:rPr>
          <w:b/>
          <w:bCs/>
        </w:rPr>
        <w:t>II</w:t>
      </w:r>
      <w:r w:rsidR="00AC664E" w:rsidRPr="00F877E4">
        <w:rPr>
          <w:b/>
          <w:bCs/>
        </w:rPr>
        <w:t>.</w:t>
      </w:r>
      <w:r>
        <w:rPr>
          <w:b/>
          <w:bCs/>
        </w:rPr>
        <w:t xml:space="preserve"> </w:t>
      </w:r>
      <w:r w:rsidR="00AC664E" w:rsidRPr="00F877E4">
        <w:rPr>
          <w:b/>
          <w:bCs/>
        </w:rPr>
        <w:t>Równoważność</w:t>
      </w:r>
    </w:p>
    <w:p w14:paraId="535ACDB4" w14:textId="77777777" w:rsidR="00C76552" w:rsidRDefault="00AC664E">
      <w:pPr>
        <w:jc w:val="both"/>
      </w:pPr>
      <w:r>
        <w:t>Jeśli w opisie przedmiotu zamówienia, bądź rysunku występują: nazwy konkretnego producenta, nazwy konkretnego produktu, normy jakościowe, nazwy własne, patenty, znaki towarowe, typy, standardy należy to traktować jedynie jako pomoc w opisie przedmiotu zamówienia. W każdym przypadku dopuszczalne są rozwiązania równoważne pod względem konstrukcji, materiałów, funkcjonalności, jakości. Jeżeli w opisie przedmiotu zamówienia wskazano jakikolwiek znak towarowy, patent czy pochodzenie - należy przyjąć, że wskazane patenty, znaki towarowe, pochodzenie określają parametry techniczne, eksploatacyjne, użytkowe, co oznacza, że Zamawiający dopuszcza złożenie ofert w tej części przedmiotu zamówienia o równoważnych parametrach technicznych, eksploatacyjnych i użytkowych.</w:t>
      </w:r>
    </w:p>
    <w:p w14:paraId="5D9246D5" w14:textId="77777777" w:rsidR="00C76552" w:rsidRDefault="00AC664E">
      <w:pPr>
        <w:jc w:val="both"/>
      </w:pPr>
      <w:r>
        <w:t>Obowiązek wykazania równoważności spoczywa na Dostawcy, który w przypadku oferowania rozwiązań równoważnych powinien dołączyć do oferty specyfikacje techniczne, karty katalogowe, instrukcje lub inne dokumenty zawierające dane techniczne elementów równoważnych.</w:t>
      </w:r>
    </w:p>
    <w:p w14:paraId="4FB44E6B" w14:textId="77777777" w:rsidR="00C76552" w:rsidRDefault="00C76552"/>
    <w:p w14:paraId="53312E12" w14:textId="77777777" w:rsidR="00C76552" w:rsidRDefault="00C76552"/>
    <w:sectPr w:rsidR="00C7655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0E5F8" w14:textId="77777777" w:rsidR="00F7737C" w:rsidRDefault="00F7737C">
      <w:pPr>
        <w:spacing w:line="240" w:lineRule="auto"/>
      </w:pPr>
      <w:r>
        <w:separator/>
      </w:r>
    </w:p>
  </w:endnote>
  <w:endnote w:type="continuationSeparator" w:id="0">
    <w:p w14:paraId="57DDCB1C" w14:textId="77777777" w:rsidR="00F7737C" w:rsidRDefault="00F773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oto Sans Symbols">
    <w:altName w:val="Segoe Print"/>
    <w:charset w:val="01"/>
    <w:family w:val="auto"/>
    <w:pitch w:val="default"/>
  </w:font>
  <w:font w:name="Liberation Sans">
    <w:altName w:val="Arial"/>
    <w:charset w:val="EE"/>
    <w:family w:val="swiss"/>
    <w:pitch w:val="default"/>
    <w:sig w:usb0="00000000" w:usb1="00000000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AA6B9" w14:textId="77777777" w:rsidR="00C76552" w:rsidRDefault="00AC664E">
    <w:pPr>
      <w:widowControl/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114300" distR="114300" wp14:anchorId="2DC50F8F" wp14:editId="7BF2AE32">
          <wp:extent cx="5755005" cy="597535"/>
          <wp:effectExtent l="0" t="0" r="5715" b="12065"/>
          <wp:docPr id="1" name="Obraz 1" descr="zestawienie znak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znaków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005" cy="597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1AE251" w14:textId="77777777" w:rsidR="00C76552" w:rsidRDefault="00C76552">
    <w:pPr>
      <w:widowControl/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19BA3" w14:textId="77777777" w:rsidR="00F7737C" w:rsidRDefault="00F7737C">
      <w:pPr>
        <w:spacing w:after="0"/>
      </w:pPr>
      <w:r>
        <w:separator/>
      </w:r>
    </w:p>
  </w:footnote>
  <w:footnote w:type="continuationSeparator" w:id="0">
    <w:p w14:paraId="004589DF" w14:textId="77777777" w:rsidR="00F7737C" w:rsidRDefault="00F773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F68E9" w14:textId="77777777" w:rsidR="00C76552" w:rsidRDefault="00AC664E">
    <w:pPr>
      <w:pStyle w:val="NormalnyWeb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2B7224F" wp14:editId="16ABE0E2">
          <wp:simplePos x="0" y="0"/>
          <wp:positionH relativeFrom="margin">
            <wp:align>right</wp:align>
          </wp:positionH>
          <wp:positionV relativeFrom="paragraph">
            <wp:posOffset>205740</wp:posOffset>
          </wp:positionV>
          <wp:extent cx="2577465" cy="1193165"/>
          <wp:effectExtent l="0" t="0" r="0" b="6985"/>
          <wp:wrapNone/>
          <wp:docPr id="2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77465" cy="11933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7588909" w14:textId="77777777" w:rsidR="00C76552" w:rsidRDefault="00AC664E">
    <w:pPr>
      <w:widowControl/>
      <w:tabs>
        <w:tab w:val="center" w:pos="4536"/>
        <w:tab w:val="right" w:pos="9072"/>
      </w:tabs>
      <w:spacing w:after="0" w:line="240" w:lineRule="auto"/>
      <w:rPr>
        <w:color w:val="000000"/>
        <w:lang w:val="en-US"/>
      </w:rPr>
    </w:pPr>
    <w:r>
      <w:rPr>
        <w:color w:val="000000"/>
        <w:lang w:val="en-US"/>
      </w:rPr>
      <w:t>ACCREA Medical Robotics Sp. z o. o.</w:t>
    </w:r>
  </w:p>
  <w:p w14:paraId="2A8E08AB" w14:textId="77777777" w:rsidR="00C76552" w:rsidRDefault="00AC664E">
    <w:pPr>
      <w:widowControl/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color w:val="000000"/>
      </w:rPr>
      <w:t xml:space="preserve">ul. Krochmalna 24 </w:t>
    </w:r>
  </w:p>
  <w:p w14:paraId="25EF5F44" w14:textId="77777777" w:rsidR="00C76552" w:rsidRDefault="00AC664E">
    <w:pPr>
      <w:widowControl/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color w:val="000000"/>
      </w:rPr>
      <w:t>20-401 Lublin</w:t>
    </w:r>
  </w:p>
  <w:p w14:paraId="6B2670B1" w14:textId="77777777" w:rsidR="00C76552" w:rsidRDefault="00AC664E">
    <w:pPr>
      <w:widowControl/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color w:val="000000"/>
      </w:rPr>
      <w:t>Tel./fax.: +48 81 747 90 95</w:t>
    </w:r>
  </w:p>
  <w:p w14:paraId="3CBE30F5" w14:textId="77777777" w:rsidR="00C76552" w:rsidRDefault="00AC664E">
    <w:pPr>
      <w:widowControl/>
      <w:tabs>
        <w:tab w:val="center" w:pos="4536"/>
        <w:tab w:val="right" w:pos="9072"/>
      </w:tabs>
      <w:spacing w:after="0" w:line="240" w:lineRule="auto"/>
      <w:rPr>
        <w:color w:val="000000"/>
        <w:lang w:val="en-US"/>
      </w:rPr>
    </w:pPr>
    <w:proofErr w:type="spellStart"/>
    <w:r>
      <w:rPr>
        <w:color w:val="000000"/>
        <w:lang w:val="de-DE"/>
      </w:rPr>
      <w:t>e-mail</w:t>
    </w:r>
    <w:proofErr w:type="spellEnd"/>
    <w:r>
      <w:rPr>
        <w:color w:val="000000"/>
        <w:lang w:val="de-DE"/>
      </w:rPr>
      <w:t xml:space="preserve">:  </w:t>
    </w:r>
    <w:hyperlink r:id="rId2" w:history="1">
      <w:r>
        <w:rPr>
          <w:rStyle w:val="Hipercze"/>
          <w:lang w:val="de-DE"/>
        </w:rPr>
        <w:t>office@accrea.com</w:t>
      </w:r>
    </w:hyperlink>
  </w:p>
  <w:p w14:paraId="67690E2E" w14:textId="77777777" w:rsidR="00C76552" w:rsidRDefault="00AC664E">
    <w:pPr>
      <w:widowControl/>
      <w:tabs>
        <w:tab w:val="center" w:pos="4536"/>
        <w:tab w:val="right" w:pos="9072"/>
      </w:tabs>
      <w:spacing w:after="0" w:line="240" w:lineRule="auto"/>
      <w:rPr>
        <w:color w:val="000000"/>
        <w:lang w:val="en-US"/>
      </w:rPr>
    </w:pPr>
    <w:hyperlink r:id="rId3" w:history="1">
      <w:r>
        <w:rPr>
          <w:rStyle w:val="Hipercze"/>
          <w:lang w:val="de-DE"/>
        </w:rPr>
        <w:t>www.accrea.com</w:t>
      </w:r>
    </w:hyperlink>
  </w:p>
  <w:p w14:paraId="4451D91F" w14:textId="77777777" w:rsidR="00C76552" w:rsidRDefault="00AC664E">
    <w:pPr>
      <w:widowControl/>
      <w:tabs>
        <w:tab w:val="center" w:pos="4536"/>
        <w:tab w:val="right" w:pos="9072"/>
      </w:tabs>
      <w:spacing w:after="0" w:line="240" w:lineRule="auto"/>
      <w:rPr>
        <w:color w:val="000000"/>
        <w:lang w:val="de-DE"/>
      </w:rPr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ADEE9B5" wp14:editId="34B8BA05">
              <wp:simplePos x="0" y="0"/>
              <wp:positionH relativeFrom="column">
                <wp:posOffset>-347345</wp:posOffset>
              </wp:positionH>
              <wp:positionV relativeFrom="paragraph">
                <wp:posOffset>156210</wp:posOffset>
              </wp:positionV>
              <wp:extent cx="6477000" cy="635"/>
              <wp:effectExtent l="9525" t="7620" r="9525" b="10795"/>
              <wp:wrapNone/>
              <wp:docPr id="470977490" name="Łącznik prosty ze strzałką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7000" cy="635"/>
                      </a:xfrm>
                      <a:prstGeom prst="straightConnector1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Łącznik prosty ze strzałką 9" o:spid="_x0000_s1026" o:spt="32" type="#_x0000_t32" style="position:absolute;left:0pt;margin-left:-27.35pt;margin-top:12.3pt;height:0.05pt;width:510pt;z-index:-251657216;mso-width-relative:page;mso-height-relative:page;" filled="f" stroked="t" coordsize="21600,21600" o:gfxdata="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PlWj7YAAAACQEAAA8AAAAAAAAAAQAgAAAAIgAA&#10;AGRycy9kb3ducmV2LnhtbFBLAQIUABQAAAAIAIdO4kDnjKUMCAIAAPUDAAAOAAAAAAAAAAEAIAAA&#10;ACcBAABkcnMvZTJvRG9jLnhtbFBLBQYAAAAABgAGAFkBAAChBQAAAAA=&#10;">
              <v:fill on="f" focussize="0,0"/>
              <v:stroke weight="0.737007874015748pt" color="#000000" miterlimit="8" joinstyle="miter" endcap="square"/>
              <v:imagedata o:title=""/>
              <o:lock v:ext="edit" aspectratio="f"/>
            </v:shape>
          </w:pict>
        </mc:Fallback>
      </mc:AlternateContent>
    </w:r>
  </w:p>
  <w:p w14:paraId="13034F02" w14:textId="77777777" w:rsidR="00C76552" w:rsidRDefault="00C76552">
    <w:pPr>
      <w:widowControl/>
      <w:tabs>
        <w:tab w:val="center" w:pos="4536"/>
        <w:tab w:val="right" w:pos="9072"/>
      </w:tabs>
      <w:spacing w:after="0" w:line="240" w:lineRule="auto"/>
      <w:rPr>
        <w:color w:val="00000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8E3"/>
    <w:rsid w:val="00086206"/>
    <w:rsid w:val="00136ADE"/>
    <w:rsid w:val="001C4969"/>
    <w:rsid w:val="0024125B"/>
    <w:rsid w:val="00265360"/>
    <w:rsid w:val="002E5F0A"/>
    <w:rsid w:val="003008E3"/>
    <w:rsid w:val="004A38C9"/>
    <w:rsid w:val="00532CBA"/>
    <w:rsid w:val="00541B86"/>
    <w:rsid w:val="005848BC"/>
    <w:rsid w:val="00752E74"/>
    <w:rsid w:val="00763D37"/>
    <w:rsid w:val="00782222"/>
    <w:rsid w:val="007D5E35"/>
    <w:rsid w:val="00A359E5"/>
    <w:rsid w:val="00AC664E"/>
    <w:rsid w:val="00C76552"/>
    <w:rsid w:val="00CB311B"/>
    <w:rsid w:val="00CC1759"/>
    <w:rsid w:val="00D11832"/>
    <w:rsid w:val="00E60676"/>
    <w:rsid w:val="00F7737C"/>
    <w:rsid w:val="00F877E4"/>
    <w:rsid w:val="318A2422"/>
    <w:rsid w:val="6AE6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0D9FE"/>
  <w15:docId w15:val="{3985D57E-CF38-4D87-811C-833582658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pacing w:after="200" w:line="276" w:lineRule="auto"/>
    </w:pPr>
    <w:rPr>
      <w:sz w:val="22"/>
      <w:szCs w:val="22"/>
      <w:lang w:eastAsia="zh-CN" w:bidi="hi-IN"/>
    </w:rPr>
  </w:style>
  <w:style w:type="paragraph" w:styleId="Nagwek1">
    <w:name w:val="heading 1"/>
    <w:basedOn w:val="Normalny"/>
    <w:next w:val="LO-normal"/>
    <w:qFormat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LO-normal"/>
    <w:qFormat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LO-normal"/>
    <w:qFormat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LO-normal"/>
    <w:qFormat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LO-normal"/>
    <w:qFormat/>
    <w:pPr>
      <w:keepNext/>
      <w:keepLines/>
      <w:spacing w:before="220" w:after="40" w:line="240" w:lineRule="auto"/>
      <w:outlineLvl w:val="4"/>
    </w:pPr>
    <w:rPr>
      <w:b/>
    </w:rPr>
  </w:style>
  <w:style w:type="paragraph" w:styleId="Nagwek6">
    <w:name w:val="heading 6"/>
    <w:basedOn w:val="Normalny"/>
    <w:next w:val="LO-normal"/>
    <w:qFormat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O-normal">
    <w:name w:val="LO-normal"/>
    <w:qFormat/>
    <w:rPr>
      <w:sz w:val="22"/>
      <w:szCs w:val="22"/>
      <w:lang w:eastAsia="zh-CN" w:bidi="hi-IN"/>
    </w:rPr>
  </w:style>
  <w:style w:type="paragraph" w:styleId="Tekstpodstawowy">
    <w:name w:val="Body Text"/>
    <w:basedOn w:val="Normalny"/>
    <w:qFormat/>
    <w:pPr>
      <w:spacing w:after="140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opka">
    <w:name w:val="footer"/>
    <w:basedOn w:val="Normalny"/>
    <w:qFormat/>
  </w:style>
  <w:style w:type="paragraph" w:styleId="Nagwek">
    <w:name w:val="header"/>
    <w:basedOn w:val="Normalny"/>
    <w:link w:val="NagwekZnak"/>
    <w:uiPriority w:val="99"/>
    <w:qFormat/>
  </w:style>
  <w:style w:type="character" w:styleId="Hipercze">
    <w:name w:val="Hyperlink"/>
    <w:basedOn w:val="Domylnaczcionkaakapitu"/>
    <w:qFormat/>
    <w:rPr>
      <w:color w:val="0000FF" w:themeColor="hyperlink"/>
      <w:u w:val="single"/>
    </w:rPr>
  </w:style>
  <w:style w:type="paragraph" w:styleId="Lista">
    <w:name w:val="List"/>
    <w:basedOn w:val="Tekstpodstawowy"/>
    <w:qFormat/>
    <w:rPr>
      <w:rFonts w:cs="Arial"/>
    </w:rPr>
  </w:style>
  <w:style w:type="paragraph" w:styleId="NormalnyWeb">
    <w:name w:val="Normal (Web)"/>
    <w:basedOn w:val="Normalny"/>
    <w:uiPriority w:val="99"/>
    <w:unhideWhenUsed/>
    <w:qFormat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paragraph" w:styleId="Podtytu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-Siatka">
    <w:name w:val="Table Grid"/>
    <w:basedOn w:val="Standardowy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ListLabel1">
    <w:name w:val="ListLabel 1"/>
    <w:qFormat/>
    <w:rPr>
      <w:rFonts w:eastAsia="Cambria" w:cs="Cambria"/>
      <w:color w:val="000000"/>
    </w:rPr>
  </w:style>
  <w:style w:type="character" w:customStyle="1" w:styleId="ListLabel2">
    <w:name w:val="ListLabel 2"/>
    <w:qFormat/>
    <w:rPr>
      <w:rFonts w:eastAsia="Noto Sans Symbols" w:cs="Noto Sans Symbols"/>
    </w:rPr>
  </w:style>
  <w:style w:type="character" w:customStyle="1" w:styleId="ListLabel3">
    <w:name w:val="ListLabel 3"/>
    <w:qFormat/>
    <w:rPr>
      <w:rFonts w:eastAsia="Noto Sans Symbols" w:cs="Noto Sans Symbols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eastAsia="Cambria" w:cs="Cambria"/>
      <w:color w:val="000000"/>
    </w:rPr>
  </w:style>
  <w:style w:type="character" w:customStyle="1" w:styleId="ListLabel6">
    <w:name w:val="ListLabel 6"/>
    <w:qFormat/>
    <w:rPr>
      <w:rFonts w:cs="Noto Sans Symbols"/>
    </w:rPr>
  </w:style>
  <w:style w:type="character" w:customStyle="1" w:styleId="ListLabel7">
    <w:name w:val="ListLabel 7"/>
    <w:qFormat/>
    <w:rPr>
      <w:rFonts w:cs="Noto Sans Symbols"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rFonts w:eastAsia="Cambria" w:cs="Cambria"/>
      <w:color w:val="000000"/>
    </w:rPr>
  </w:style>
  <w:style w:type="character" w:customStyle="1" w:styleId="ListLabel10">
    <w:name w:val="ListLabel 10"/>
    <w:qFormat/>
    <w:rPr>
      <w:rFonts w:cs="Noto Sans Symbols"/>
    </w:rPr>
  </w:style>
  <w:style w:type="character" w:customStyle="1" w:styleId="ListLabel11">
    <w:name w:val="ListLabel 11"/>
    <w:qFormat/>
    <w:rPr>
      <w:rFonts w:cs="Noto Sans Symbols"/>
    </w:rPr>
  </w:style>
  <w:style w:type="character" w:customStyle="1" w:styleId="ListLabel12">
    <w:name w:val="ListLabel 12"/>
    <w:qFormat/>
    <w:rPr>
      <w:b/>
    </w:rPr>
  </w:style>
  <w:style w:type="character" w:customStyle="1" w:styleId="ListLabel13">
    <w:name w:val="ListLabel 13"/>
    <w:qFormat/>
    <w:rPr>
      <w:rFonts w:eastAsia="Cambria" w:cs="Cambria"/>
      <w:color w:val="000000"/>
    </w:rPr>
  </w:style>
  <w:style w:type="character" w:customStyle="1" w:styleId="ListLabel14">
    <w:name w:val="ListLabel 14"/>
    <w:qFormat/>
    <w:rPr>
      <w:rFonts w:cs="Noto Sans Symbols"/>
    </w:rPr>
  </w:style>
  <w:style w:type="character" w:customStyle="1" w:styleId="ListLabel15">
    <w:name w:val="ListLabel 15"/>
    <w:qFormat/>
    <w:rPr>
      <w:rFonts w:cs="Noto Sans Symbols"/>
    </w:rPr>
  </w:style>
  <w:style w:type="character" w:customStyle="1" w:styleId="ListLabel16">
    <w:name w:val="ListLabel 16"/>
    <w:qFormat/>
    <w:rPr>
      <w:b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rPr>
      <w:sz w:val="22"/>
      <w:szCs w:val="22"/>
      <w:lang w:eastAsia="zh-C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99"/>
    <w:unhideWhenUsed/>
    <w:qFormat/>
    <w:pPr>
      <w:ind w:left="720"/>
      <w:contextualSpacing/>
    </w:pPr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ccrea.com/" TargetMode="External"/><Relationship Id="rId2" Type="http://schemas.openxmlformats.org/officeDocument/2006/relationships/hyperlink" Target="mailto:office@accrea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5</Pages>
  <Words>1119</Words>
  <Characters>6472</Characters>
  <Application>Microsoft Office Word</Application>
  <DocSecurity>0</DocSecurity>
  <Lines>497</Lines>
  <Paragraphs>361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WPS_1723632821</dc:creator>
  <cp:lastModifiedBy>Sylwia Myśliwiec</cp:lastModifiedBy>
  <cp:revision>4</cp:revision>
  <cp:lastPrinted>2019-02-25T16:52:00Z</cp:lastPrinted>
  <dcterms:created xsi:type="dcterms:W3CDTF">2026-04-22T12:39:00Z</dcterms:created>
  <dcterms:modified xsi:type="dcterms:W3CDTF">2026-04-23T12:27:00Z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3DB2039472384FF18B06CE3CEF2F4B0D_13</vt:lpwstr>
  </property>
</Properties>
</file>